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服务情况及面积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50" w:tblpY="349"/>
        <w:tblOverlap w:val="never"/>
        <w:tblW w:w="8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55"/>
        <w:gridCol w:w="544"/>
        <w:gridCol w:w="944"/>
        <w:gridCol w:w="3201"/>
        <w:gridCol w:w="862"/>
        <w:gridCol w:w="913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服务组织</w:t>
            </w: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服务种类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服务面积/亩次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灵武市同德农业社会化综合服务站</w:t>
            </w: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玉米植保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机械飞防含药（1次/亩）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梧桐树村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小农户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陶家圈村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郝家桥村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杨洪桥村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灵武市农盛种植专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业服务站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灵武市建明家庭农场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康盛机械服务站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灵武市农达植保专业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服务站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灵武市福满园家庭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深翻还田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土地深翻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灵武市同心农业综合开发有限公司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委托作业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精量播种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小黑麦播种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灵武市同心农业综合开发有限公司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委托作业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收割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苜蓿收割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灵武市同心农业综合开发有限公司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委托作业</w:t>
            </w: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68658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0618"/>
    <w:rsid w:val="738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2020-11-25T03:28:00Z</dcterms:created>
  <dc:creator>青鱼于清漪</dc:creator>
  <cp:lastModifiedBy>青鱼于清漪</cp:lastModifiedBy>
  <dcterms:modified xsi:type="dcterms:W3CDTF">2020-11-25T03:29:49Z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